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5D" w:rsidRPr="00995033" w:rsidRDefault="00252FCF" w:rsidP="00995033">
      <w:pPr>
        <w:jc w:val="center"/>
        <w:rPr>
          <w:rFonts w:ascii="游ゴシック" w:eastAsia="游ゴシック" w:hAnsi="游ゴシック" w:cs="Meiryo UI"/>
          <w:b/>
        </w:rPr>
      </w:pPr>
      <w:bookmarkStart w:id="0" w:name="_GoBack"/>
      <w:bookmarkEnd w:id="0"/>
      <w:r>
        <w:rPr>
          <w:rFonts w:ascii="游ゴシック" w:eastAsia="游ゴシック" w:hAnsi="游ゴシック" w:cs="Meiryo UI" w:hint="eastAsia"/>
          <w:b/>
        </w:rPr>
        <w:t>避難確保計画</w:t>
      </w:r>
      <w:r w:rsidR="00D72FF1" w:rsidRPr="00995033">
        <w:rPr>
          <w:rFonts w:ascii="游ゴシック" w:eastAsia="游ゴシック" w:hAnsi="游ゴシック" w:cs="Meiryo UI" w:hint="eastAsia"/>
          <w:b/>
        </w:rPr>
        <w:t>チェックリスト</w:t>
      </w:r>
    </w:p>
    <w:tbl>
      <w:tblPr>
        <w:tblStyle w:val="a7"/>
        <w:tblW w:w="9186" w:type="dxa"/>
        <w:tblLook w:val="04A0" w:firstRow="1" w:lastRow="0" w:firstColumn="1" w:lastColumn="0" w:noHBand="0" w:noVBand="1"/>
      </w:tblPr>
      <w:tblGrid>
        <w:gridCol w:w="1134"/>
        <w:gridCol w:w="4253"/>
        <w:gridCol w:w="1134"/>
        <w:gridCol w:w="2665"/>
      </w:tblGrid>
      <w:tr w:rsidR="00174C1B" w:rsidRPr="00995033" w:rsidTr="00261F92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2AFA" w:rsidRPr="00380246" w:rsidRDefault="00995033" w:rsidP="00E1522D">
            <w:pPr>
              <w:jc w:val="center"/>
              <w:rPr>
                <w:rFonts w:ascii="游ゴシック" w:eastAsia="游ゴシック" w:hAnsi="游ゴシック" w:cs="ＭＳ 明朝"/>
                <w:color w:val="000000" w:themeColor="text1"/>
                <w:sz w:val="21"/>
                <w:szCs w:val="21"/>
              </w:rPr>
            </w:pPr>
            <w:r w:rsidRPr="00380246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4253" w:type="dxa"/>
            <w:shd w:val="clear" w:color="auto" w:fill="auto"/>
          </w:tcPr>
          <w:p w:rsidR="00174C1B" w:rsidRPr="00380246" w:rsidRDefault="00174C1B" w:rsidP="00D72FF1">
            <w:pPr>
              <w:jc w:val="center"/>
              <w:rPr>
                <w:rFonts w:ascii="游ゴシック" w:eastAsia="游ゴシック" w:hAnsi="游ゴシック" w:cs="Meiryo U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95033" w:rsidRPr="00380246" w:rsidRDefault="00F0480C" w:rsidP="00F0480C">
            <w:pPr>
              <w:jc w:val="center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 w:rsidRPr="00380246">
              <w:rPr>
                <w:rFonts w:ascii="游ゴシック" w:eastAsia="游ゴシック" w:hAnsi="游ゴシック" w:cs="Meiryo UI" w:hint="eastAsia"/>
                <w:color w:val="000000" w:themeColor="text1"/>
                <w:sz w:val="21"/>
                <w:szCs w:val="21"/>
              </w:rPr>
              <w:t>確認</w:t>
            </w:r>
            <w:r w:rsidR="009E7A71" w:rsidRPr="00380246">
              <w:rPr>
                <w:rFonts w:ascii="游ゴシック" w:eastAsia="游ゴシック" w:hAnsi="游ゴシック" w:cs="Meiryo UI" w:hint="eastAsia"/>
                <w:color w:val="000000" w:themeColor="text1"/>
                <w:sz w:val="21"/>
                <w:szCs w:val="21"/>
              </w:rPr>
              <w:t>者</w:t>
            </w:r>
          </w:p>
          <w:p w:rsidR="007B2AFA" w:rsidRPr="00380246" w:rsidRDefault="009E7A71" w:rsidP="00F0480C">
            <w:pPr>
              <w:jc w:val="center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 w:rsidRPr="00380246">
              <w:rPr>
                <w:rFonts w:ascii="游ゴシック" w:eastAsia="游ゴシック" w:hAnsi="游ゴシック" w:cs="Meiryo UI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665" w:type="dxa"/>
          </w:tcPr>
          <w:p w:rsidR="00174C1B" w:rsidRPr="00380246" w:rsidRDefault="00174C1B" w:rsidP="00D72FF1">
            <w:pPr>
              <w:jc w:val="center"/>
              <w:rPr>
                <w:rFonts w:ascii="游ゴシック" w:eastAsia="游ゴシック" w:hAnsi="游ゴシック" w:cs="Meiryo UI"/>
                <w:color w:val="000000" w:themeColor="text1"/>
              </w:rPr>
            </w:pPr>
          </w:p>
        </w:tc>
      </w:tr>
    </w:tbl>
    <w:p w:rsidR="00174C1B" w:rsidRPr="00995033" w:rsidRDefault="00174C1B" w:rsidP="007B2AFA">
      <w:pPr>
        <w:rPr>
          <w:rFonts w:ascii="游ゴシック" w:eastAsia="游ゴシック" w:hAnsi="游ゴシック" w:cs="Meiryo UI"/>
          <w:b/>
          <w:bCs/>
          <w:color w:val="000000" w:themeColor="text1"/>
          <w:sz w:val="21"/>
          <w:szCs w:val="21"/>
        </w:rPr>
      </w:pPr>
    </w:p>
    <w:tbl>
      <w:tblPr>
        <w:tblW w:w="91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6133"/>
        <w:gridCol w:w="1386"/>
      </w:tblGrid>
      <w:tr w:rsidR="006704A3" w:rsidRPr="00995033" w:rsidTr="00261F92">
        <w:trPr>
          <w:trHeight w:val="67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CFD"/>
            <w:vAlign w:val="center"/>
            <w:hideMark/>
          </w:tcPr>
          <w:p w:rsidR="006704A3" w:rsidRPr="00380246" w:rsidRDefault="006704A3" w:rsidP="006704A3">
            <w:pPr>
              <w:jc w:val="center"/>
              <w:rPr>
                <w:rFonts w:ascii="游ゴシック" w:eastAsia="游ゴシック" w:hAnsi="游ゴシック" w:cs="Meiryo UI"/>
                <w:bCs/>
                <w:color w:val="000000"/>
                <w:sz w:val="21"/>
                <w:szCs w:val="21"/>
              </w:rPr>
            </w:pPr>
            <w:r w:rsidRPr="00380246">
              <w:rPr>
                <w:rFonts w:ascii="游ゴシック" w:eastAsia="游ゴシック" w:hAnsi="游ゴシック" w:cs="Meiryo UI" w:hint="eastAsia"/>
                <w:bCs/>
                <w:color w:val="000000"/>
                <w:sz w:val="21"/>
                <w:szCs w:val="21"/>
              </w:rPr>
              <w:t>計画の項目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FCFD"/>
            <w:noWrap/>
            <w:vAlign w:val="center"/>
            <w:hideMark/>
          </w:tcPr>
          <w:p w:rsidR="006704A3" w:rsidRPr="00380246" w:rsidRDefault="006704A3" w:rsidP="006704A3">
            <w:pPr>
              <w:jc w:val="center"/>
              <w:rPr>
                <w:rFonts w:ascii="游ゴシック" w:eastAsia="游ゴシック" w:hAnsi="游ゴシック" w:cs="Meiryo UI"/>
                <w:bCs/>
                <w:color w:val="000000"/>
                <w:sz w:val="21"/>
                <w:szCs w:val="21"/>
              </w:rPr>
            </w:pPr>
            <w:r w:rsidRPr="00380246">
              <w:rPr>
                <w:rFonts w:ascii="游ゴシック" w:eastAsia="游ゴシック" w:hAnsi="游ゴシック" w:cs="Meiryo UI" w:hint="eastAsia"/>
                <w:bCs/>
                <w:color w:val="000000"/>
                <w:sz w:val="21"/>
                <w:szCs w:val="21"/>
              </w:rPr>
              <w:t>チェック項目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FCFD"/>
            <w:noWrap/>
            <w:vAlign w:val="center"/>
            <w:hideMark/>
          </w:tcPr>
          <w:p w:rsidR="006704A3" w:rsidRPr="00380246" w:rsidRDefault="00995033" w:rsidP="006704A3">
            <w:pPr>
              <w:jc w:val="center"/>
              <w:rPr>
                <w:rFonts w:ascii="游ゴシック" w:eastAsia="游ゴシック" w:hAnsi="游ゴシック" w:cs="Meiryo UI"/>
                <w:bCs/>
                <w:color w:val="000000"/>
                <w:sz w:val="21"/>
                <w:szCs w:val="21"/>
              </w:rPr>
            </w:pPr>
            <w:r w:rsidRPr="00380246">
              <w:rPr>
                <w:rFonts w:ascii="Segoe UI Symbol" w:eastAsia="游ゴシック" w:hAnsi="Segoe UI Symbol" w:cs="Segoe UI Symbol" w:hint="eastAsia"/>
                <w:bCs/>
                <w:color w:val="000000"/>
                <w:sz w:val="21"/>
                <w:szCs w:val="21"/>
              </w:rPr>
              <w:t>チェック欄</w:t>
            </w:r>
          </w:p>
        </w:tc>
      </w:tr>
      <w:tr w:rsidR="00311E89" w:rsidRPr="00995033" w:rsidTr="00303689">
        <w:trPr>
          <w:trHeight w:val="102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FCFD"/>
            <w:vAlign w:val="center"/>
            <w:hideMark/>
          </w:tcPr>
          <w:p w:rsidR="00311E89" w:rsidRDefault="00311E89" w:rsidP="00DD7C79">
            <w:pPr>
              <w:jc w:val="both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 w:rsidRPr="00995033">
              <w:rPr>
                <w:rFonts w:ascii="游ゴシック" w:eastAsia="游ゴシック" w:hAnsi="游ゴシック" w:cs="Meiryo UI" w:hint="eastAsia"/>
                <w:color w:val="000000" w:themeColor="text1"/>
                <w:sz w:val="21"/>
                <w:szCs w:val="21"/>
              </w:rPr>
              <w:t>防災体制</w:t>
            </w:r>
          </w:p>
          <w:p w:rsidR="00311E89" w:rsidRPr="00995033" w:rsidRDefault="00311E89" w:rsidP="00DD7C79">
            <w:pPr>
              <w:jc w:val="both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21"/>
                <w:szCs w:val="21"/>
              </w:rPr>
              <w:t>情報収集・伝達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9" w:rsidRPr="00995033" w:rsidRDefault="00311E89" w:rsidP="00311E89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ＭＳゴシック"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避難支援のための体制確立は適切であるか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89" w:rsidRPr="00995033" w:rsidRDefault="00311E89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311E89" w:rsidRPr="00995033" w:rsidTr="00303689">
        <w:trPr>
          <w:trHeight w:val="102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FCFD"/>
            <w:vAlign w:val="center"/>
            <w:hideMark/>
          </w:tcPr>
          <w:p w:rsidR="00311E89" w:rsidRPr="00995033" w:rsidRDefault="00311E89" w:rsidP="000615CB">
            <w:pPr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9" w:rsidRPr="00995033" w:rsidRDefault="00311E89" w:rsidP="00A25544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ＭＳゴシック"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遅くとも警戒レベル3「高齢者等避難」</w:t>
            </w: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の発令の段階で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、避難を開始することにしているか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89" w:rsidRPr="00995033" w:rsidRDefault="00311E89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311E89" w:rsidRPr="00995033" w:rsidTr="00303689">
        <w:trPr>
          <w:trHeight w:val="102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FCFD"/>
            <w:vAlign w:val="center"/>
            <w:hideMark/>
          </w:tcPr>
          <w:p w:rsidR="00311E89" w:rsidRPr="00995033" w:rsidRDefault="00311E89" w:rsidP="000615CB">
            <w:pPr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9" w:rsidRPr="00995033" w:rsidRDefault="00311E89" w:rsidP="00170FFE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ＭＳゴシック"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警戒レベル3「高齢者等避難」</w:t>
            </w: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等の発令が無い場合でも避難の判断ができるよう、複数の判断材料</w:t>
            </w:r>
            <w:r w:rsidR="00812E3B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（気象情報、避難に要する時間など）</w:t>
            </w: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が設定されているか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89" w:rsidRPr="00995033" w:rsidRDefault="00311E89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311E89" w:rsidRPr="00995033" w:rsidTr="00261F92">
        <w:trPr>
          <w:trHeight w:val="1020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CFD"/>
            <w:vAlign w:val="center"/>
          </w:tcPr>
          <w:p w:rsidR="00311E89" w:rsidRPr="00995033" w:rsidRDefault="00311E89" w:rsidP="000615CB">
            <w:pPr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89" w:rsidRDefault="00311E89" w:rsidP="00170FFE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気象情報や河川情報、土砂災害に関する情報、避難情報の収集</w:t>
            </w: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・伝達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方法等を適切に定めているか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89" w:rsidRPr="00995033" w:rsidRDefault="00311E89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261F92" w:rsidRPr="00995033" w:rsidTr="00261F92">
        <w:trPr>
          <w:trHeight w:val="102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FCFD"/>
            <w:vAlign w:val="center"/>
            <w:hideMark/>
          </w:tcPr>
          <w:p w:rsidR="00261F92" w:rsidRPr="00995033" w:rsidRDefault="00261F92" w:rsidP="00E1522D">
            <w:pPr>
              <w:jc w:val="both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 w:rsidRPr="00995033">
              <w:rPr>
                <w:rFonts w:ascii="游ゴシック" w:eastAsia="游ゴシック" w:hAnsi="游ゴシック" w:cs="Meiryo UI" w:hint="eastAsia"/>
                <w:color w:val="000000" w:themeColor="text1"/>
                <w:sz w:val="21"/>
                <w:szCs w:val="21"/>
              </w:rPr>
              <w:t>避難誘導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2" w:rsidRPr="00995033" w:rsidRDefault="00261F92" w:rsidP="00926C9A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z w:val="21"/>
                <w:szCs w:val="21"/>
              </w:rPr>
              <w:t>避難先は災害種別ごとに</w:t>
            </w:r>
            <w:r w:rsidR="00926C9A">
              <w:rPr>
                <w:rFonts w:ascii="游ゴシック" w:eastAsia="游ゴシック" w:hAnsi="游ゴシック" w:cs="Meiryo UI" w:hint="eastAsia"/>
                <w:color w:val="000000" w:themeColor="text1"/>
                <w:sz w:val="21"/>
                <w:szCs w:val="21"/>
              </w:rPr>
              <w:t>安全が確保された場所に設定されているか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2" w:rsidRPr="00995033" w:rsidRDefault="00261F92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261F92" w:rsidRPr="00995033" w:rsidTr="00261F92">
        <w:trPr>
          <w:cantSplit/>
          <w:trHeight w:val="102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FCFD"/>
            <w:vAlign w:val="center"/>
            <w:hideMark/>
          </w:tcPr>
          <w:p w:rsidR="00261F92" w:rsidRPr="00995033" w:rsidRDefault="00261F92" w:rsidP="000615CB">
            <w:pPr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92" w:rsidRPr="00995033" w:rsidRDefault="00261F92" w:rsidP="00494529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ＭＳゴシック"/>
                <w:color w:val="000000" w:themeColor="text1"/>
                <w:sz w:val="21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避難</w:t>
            </w:r>
            <w:r w:rsidR="00926C9A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誘導がリスク情報を踏まえた実現可能なルート上に設定されているか</w:t>
            </w:r>
            <w:r w:rsidR="00494529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（危険箇所や浸水履歴のある道路の回避など）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F92" w:rsidRPr="00995033" w:rsidRDefault="00261F92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2D5DED" w:rsidRPr="00995033" w:rsidTr="00261F92">
        <w:trPr>
          <w:cantSplit/>
          <w:trHeight w:val="102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FCFD"/>
            <w:vAlign w:val="center"/>
            <w:hideMark/>
          </w:tcPr>
          <w:p w:rsidR="00170FFE" w:rsidRPr="00995033" w:rsidRDefault="00926C9A" w:rsidP="00926C9A">
            <w:pPr>
              <w:jc w:val="both"/>
              <w:rPr>
                <w:rFonts w:ascii="游ゴシック" w:eastAsia="游ゴシック" w:hAnsi="游ゴシック" w:cs="Meiryo UI"/>
                <w:color w:val="000000" w:themeColor="text1"/>
                <w:spacing w:val="-14"/>
                <w:sz w:val="21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color w:val="000000" w:themeColor="text1"/>
                <w:spacing w:val="-14"/>
                <w:sz w:val="21"/>
                <w:szCs w:val="21"/>
              </w:rPr>
              <w:t>避難に必要な設備</w:t>
            </w:r>
            <w:r w:rsidR="000F2008">
              <w:rPr>
                <w:rFonts w:ascii="游ゴシック" w:eastAsia="游ゴシック" w:hAnsi="游ゴシック" w:cs="Meiryo UI" w:hint="eastAsia"/>
                <w:color w:val="000000" w:themeColor="text1"/>
                <w:spacing w:val="-14"/>
                <w:sz w:val="21"/>
                <w:szCs w:val="21"/>
              </w:rPr>
              <w:t>・装備品・備蓄品</w:t>
            </w:r>
            <w:r w:rsidR="00170FFE" w:rsidRPr="00995033">
              <w:rPr>
                <w:rFonts w:ascii="游ゴシック" w:eastAsia="游ゴシック" w:hAnsi="游ゴシック" w:cs="Meiryo UI" w:hint="eastAsia"/>
                <w:color w:val="000000" w:themeColor="text1"/>
                <w:spacing w:val="-14"/>
                <w:sz w:val="21"/>
                <w:szCs w:val="21"/>
              </w:rPr>
              <w:t>の整備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FE" w:rsidRPr="00995033" w:rsidRDefault="00170FFE" w:rsidP="00B0788F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洪水予報、土砂災害に関する情報等や避難情報を入手するための</w:t>
            </w:r>
            <w:r w:rsidR="00812E3B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設備</w:t>
            </w: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が記載されているか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FFE" w:rsidRPr="00B0788F" w:rsidRDefault="00170FFE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2D5DED" w:rsidRPr="00995033" w:rsidTr="00261F92">
        <w:trPr>
          <w:cantSplit/>
          <w:trHeight w:val="102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FCFD"/>
            <w:vAlign w:val="center"/>
          </w:tcPr>
          <w:p w:rsidR="00170FFE" w:rsidRPr="00995033" w:rsidRDefault="00170FFE" w:rsidP="000615CB">
            <w:pPr>
              <w:jc w:val="center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FE" w:rsidRPr="00995033" w:rsidRDefault="00CB3FC2" w:rsidP="00B0788F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 w:rsidRPr="00CB3FC2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夜間に避難を行うこと</w:t>
            </w:r>
            <w:r w:rsidR="00B0788F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も想定したうえで、避難に</w:t>
            </w:r>
            <w:r w:rsidRPr="00CB3FC2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必要な</w:t>
            </w:r>
            <w:r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設備が</w:t>
            </w:r>
            <w:r w:rsidR="00B0788F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記載されているか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FFE" w:rsidRPr="00995033" w:rsidRDefault="00170FFE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2D5DED" w:rsidRPr="00995033" w:rsidTr="00261F92">
        <w:trPr>
          <w:cantSplit/>
          <w:trHeight w:val="1020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CFD"/>
            <w:vAlign w:val="center"/>
          </w:tcPr>
          <w:p w:rsidR="00170FFE" w:rsidRPr="00995033" w:rsidRDefault="00170FFE" w:rsidP="000615CB">
            <w:pPr>
              <w:jc w:val="center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FE" w:rsidRPr="00995033" w:rsidRDefault="00170FFE" w:rsidP="000D7AF8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屋内安全確保を行う場合に備え、施設内での滞在に必要な物資</w:t>
            </w:r>
            <w:r w:rsidR="00B0788F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等</w:t>
            </w: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が確保されているか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FFE" w:rsidRPr="00995033" w:rsidRDefault="00170FFE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2D5DED" w:rsidRPr="00995033" w:rsidTr="00261F92">
        <w:trPr>
          <w:trHeight w:val="102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CFD"/>
            <w:noWrap/>
            <w:vAlign w:val="center"/>
            <w:hideMark/>
          </w:tcPr>
          <w:p w:rsidR="00170FFE" w:rsidRPr="00995033" w:rsidRDefault="00170FFE" w:rsidP="00B0788F">
            <w:pPr>
              <w:jc w:val="both"/>
              <w:rPr>
                <w:rFonts w:ascii="游ゴシック" w:eastAsia="游ゴシック" w:hAnsi="游ゴシック" w:cs="Meiryo UI"/>
                <w:color w:val="000000" w:themeColor="text1"/>
                <w:spacing w:val="-2"/>
                <w:sz w:val="21"/>
                <w:szCs w:val="21"/>
              </w:rPr>
            </w:pPr>
            <w:r w:rsidRPr="00995033">
              <w:rPr>
                <w:rFonts w:ascii="游ゴシック" w:eastAsia="游ゴシック" w:hAnsi="游ゴシック" w:cs="Meiryo UI" w:hint="eastAsia"/>
                <w:color w:val="000000" w:themeColor="text1"/>
                <w:spacing w:val="-2"/>
                <w:sz w:val="21"/>
                <w:szCs w:val="21"/>
              </w:rPr>
              <w:t>防災教育</w:t>
            </w:r>
            <w:r w:rsidR="00B0788F">
              <w:rPr>
                <w:rFonts w:ascii="游ゴシック" w:eastAsia="游ゴシック" w:hAnsi="游ゴシック" w:cs="Meiryo UI" w:hint="eastAsia"/>
                <w:color w:val="000000" w:themeColor="text1"/>
                <w:spacing w:val="-2"/>
                <w:sz w:val="21"/>
                <w:szCs w:val="21"/>
              </w:rPr>
              <w:t>及び訓練の実施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FE" w:rsidRPr="00995033" w:rsidRDefault="00170FFE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適切な時期に必要な教育・訓練の実施が設定されているか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FFE" w:rsidRPr="00995033" w:rsidRDefault="00170FFE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2D5DED" w:rsidRPr="00995033" w:rsidTr="00261F92">
        <w:trPr>
          <w:trHeight w:val="113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74C1B" w:rsidRDefault="00174C1B" w:rsidP="00E1522D">
            <w:pPr>
              <w:jc w:val="both"/>
              <w:rPr>
                <w:rFonts w:ascii="游ゴシック" w:eastAsia="游ゴシック" w:hAnsi="游ゴシック" w:cs="Meiryo UI"/>
                <w:sz w:val="21"/>
              </w:rPr>
            </w:pPr>
            <w:r w:rsidRPr="00995033">
              <w:rPr>
                <w:rFonts w:ascii="游ゴシック" w:eastAsia="游ゴシック" w:hAnsi="游ゴシック" w:cs="Meiryo UI" w:hint="eastAsia"/>
                <w:color w:val="000000" w:themeColor="text1"/>
                <w:spacing w:val="-8"/>
                <w:sz w:val="21"/>
                <w:szCs w:val="21"/>
              </w:rPr>
              <w:t>自衛水防組織</w:t>
            </w:r>
            <w:r w:rsidR="00B0788F">
              <w:rPr>
                <w:rFonts w:ascii="游ゴシック" w:eastAsia="游ゴシック" w:hAnsi="游ゴシック" w:cs="Meiryo UI" w:hint="eastAsia"/>
                <w:color w:val="000000" w:themeColor="text1"/>
                <w:spacing w:val="-8"/>
                <w:sz w:val="21"/>
                <w:szCs w:val="21"/>
              </w:rPr>
              <w:t>の業務</w:t>
            </w:r>
          </w:p>
          <w:p w:rsidR="000314D7" w:rsidRPr="000314D7" w:rsidRDefault="000314D7" w:rsidP="00E1522D">
            <w:pPr>
              <w:jc w:val="both"/>
              <w:rPr>
                <w:rFonts w:ascii="游ゴシック" w:eastAsia="游ゴシック" w:hAnsi="游ゴシック" w:cs="Meiryo UI"/>
                <w:color w:val="000000" w:themeColor="text1"/>
                <w:spacing w:val="-8"/>
                <w:sz w:val="18"/>
                <w:szCs w:val="18"/>
              </w:rPr>
            </w:pPr>
            <w:r w:rsidRPr="000314D7">
              <w:rPr>
                <w:rFonts w:ascii="游ゴシック" w:eastAsia="游ゴシック" w:hAnsi="游ゴシック" w:cs="Meiryo UI" w:hint="eastAsia"/>
                <w:sz w:val="18"/>
                <w:szCs w:val="18"/>
              </w:rPr>
              <w:t>（設置した場合）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1B" w:rsidRPr="00995033" w:rsidRDefault="00174C1B" w:rsidP="000D7AF8">
            <w:pPr>
              <w:widowControl w:val="0"/>
              <w:autoSpaceDE w:val="0"/>
              <w:autoSpaceDN w:val="0"/>
              <w:adjustRightInd w:val="0"/>
              <w:rPr>
                <w:rFonts w:ascii="游ゴシック" w:eastAsia="游ゴシック" w:hAnsi="游ゴシック" w:cs="ＭＳ 明朝"/>
                <w:color w:val="000000" w:themeColor="text1"/>
                <w:sz w:val="21"/>
                <w:szCs w:val="21"/>
              </w:rPr>
            </w:pPr>
            <w:r w:rsidRPr="00995033">
              <w:rPr>
                <w:rFonts w:ascii="游ゴシック" w:eastAsia="游ゴシック" w:hAnsi="游ゴシック" w:cs="ＭＳ 明朝" w:hint="eastAsia"/>
                <w:color w:val="000000" w:themeColor="text1"/>
                <w:sz w:val="21"/>
                <w:szCs w:val="21"/>
              </w:rPr>
              <w:t>自衛水防組織が設置されている場合、その業務内容が規定され、計画に記載されているか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1B" w:rsidRPr="00995033" w:rsidRDefault="00174C1B" w:rsidP="000615CB">
            <w:pPr>
              <w:spacing w:line="240" w:lineRule="exact"/>
              <w:rPr>
                <w:rFonts w:ascii="游ゴシック" w:eastAsia="游ゴシック" w:hAnsi="游ゴシック" w:cs="Meiryo UI"/>
                <w:color w:val="000000" w:themeColor="text1"/>
                <w:sz w:val="21"/>
                <w:szCs w:val="21"/>
              </w:rPr>
            </w:pPr>
          </w:p>
        </w:tc>
      </w:tr>
    </w:tbl>
    <w:p w:rsidR="00D72FF1" w:rsidRPr="000314D7" w:rsidRDefault="000314D7" w:rsidP="000525B7">
      <w:pPr>
        <w:rPr>
          <w:rFonts w:ascii="游ゴシック" w:eastAsia="游ゴシック" w:hAnsi="游ゴシック" w:cs="Meiryo UI"/>
          <w:sz w:val="21"/>
        </w:rPr>
      </w:pPr>
      <w:r w:rsidRPr="000314D7">
        <w:rPr>
          <w:rFonts w:ascii="游ゴシック" w:eastAsia="游ゴシック" w:hAnsi="游ゴシック" w:cs="Meiryo UI" w:hint="eastAsia"/>
          <w:sz w:val="21"/>
        </w:rPr>
        <w:t>※</w:t>
      </w:r>
      <w:r>
        <w:rPr>
          <w:rFonts w:ascii="游ゴシック" w:eastAsia="游ゴシック" w:hAnsi="游ゴシック" w:cs="Meiryo UI" w:hint="eastAsia"/>
          <w:sz w:val="21"/>
        </w:rPr>
        <w:t>避難確保計画を作成する際にチェック項目を確認し、同計画に添付して報告してください。</w:t>
      </w:r>
    </w:p>
    <w:sectPr w:rsidR="00D72FF1" w:rsidRPr="000314D7" w:rsidSect="00311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BB" w:rsidRDefault="002677BB" w:rsidP="00CC78ED">
      <w:r>
        <w:separator/>
      </w:r>
    </w:p>
  </w:endnote>
  <w:endnote w:type="continuationSeparator" w:id="0">
    <w:p w:rsidR="002677BB" w:rsidRDefault="002677BB" w:rsidP="00CC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E4" w:rsidRDefault="00BA0A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E4" w:rsidRDefault="00BA0A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E4" w:rsidRDefault="00BA0A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BB" w:rsidRDefault="002677BB" w:rsidP="00CC78ED">
      <w:r>
        <w:separator/>
      </w:r>
    </w:p>
  </w:footnote>
  <w:footnote w:type="continuationSeparator" w:id="0">
    <w:p w:rsidR="002677BB" w:rsidRDefault="002677BB" w:rsidP="00CC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E4" w:rsidRDefault="00BA0A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E4" w:rsidRDefault="00BA0A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E4" w:rsidRDefault="00BA0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F1"/>
    <w:rsid w:val="0001209B"/>
    <w:rsid w:val="000314D7"/>
    <w:rsid w:val="000525B7"/>
    <w:rsid w:val="000B3971"/>
    <w:rsid w:val="000D7AF8"/>
    <w:rsid w:val="000F2008"/>
    <w:rsid w:val="00166DB2"/>
    <w:rsid w:val="00170FFE"/>
    <w:rsid w:val="00174C1B"/>
    <w:rsid w:val="0019240B"/>
    <w:rsid w:val="001A155C"/>
    <w:rsid w:val="001B0964"/>
    <w:rsid w:val="002313C1"/>
    <w:rsid w:val="00252FCF"/>
    <w:rsid w:val="00261F92"/>
    <w:rsid w:val="002677BB"/>
    <w:rsid w:val="002771A9"/>
    <w:rsid w:val="0028721B"/>
    <w:rsid w:val="002B1BCD"/>
    <w:rsid w:val="002D5DED"/>
    <w:rsid w:val="00311E89"/>
    <w:rsid w:val="00380246"/>
    <w:rsid w:val="003F78E4"/>
    <w:rsid w:val="00494529"/>
    <w:rsid w:val="00561B43"/>
    <w:rsid w:val="00617D44"/>
    <w:rsid w:val="006704A3"/>
    <w:rsid w:val="006A5136"/>
    <w:rsid w:val="0070274C"/>
    <w:rsid w:val="0070641E"/>
    <w:rsid w:val="007121B6"/>
    <w:rsid w:val="007B2AFA"/>
    <w:rsid w:val="00812E3B"/>
    <w:rsid w:val="00921337"/>
    <w:rsid w:val="00926C9A"/>
    <w:rsid w:val="00995033"/>
    <w:rsid w:val="009C6474"/>
    <w:rsid w:val="009E729B"/>
    <w:rsid w:val="009E7A71"/>
    <w:rsid w:val="00A039EC"/>
    <w:rsid w:val="00A25544"/>
    <w:rsid w:val="00B0788F"/>
    <w:rsid w:val="00B17834"/>
    <w:rsid w:val="00BA0AE4"/>
    <w:rsid w:val="00BF2EC9"/>
    <w:rsid w:val="00C60343"/>
    <w:rsid w:val="00C75944"/>
    <w:rsid w:val="00C96DBF"/>
    <w:rsid w:val="00CB3FC2"/>
    <w:rsid w:val="00CC78ED"/>
    <w:rsid w:val="00D312A6"/>
    <w:rsid w:val="00D72FF1"/>
    <w:rsid w:val="00D832C4"/>
    <w:rsid w:val="00DB24EB"/>
    <w:rsid w:val="00DD2B51"/>
    <w:rsid w:val="00DD7C79"/>
    <w:rsid w:val="00E130DE"/>
    <w:rsid w:val="00E1522D"/>
    <w:rsid w:val="00E244BE"/>
    <w:rsid w:val="00E46FBB"/>
    <w:rsid w:val="00E7263D"/>
    <w:rsid w:val="00E86A5D"/>
    <w:rsid w:val="00EF186D"/>
    <w:rsid w:val="00F0480C"/>
    <w:rsid w:val="00F15EC3"/>
    <w:rsid w:val="00F75EFA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Arial Unicode MS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F1"/>
    <w:rPr>
      <w:rFonts w:asciiTheme="minorHAnsi" w:eastAsiaTheme="minorEastAsia" w:hAnsiTheme="minorHAns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8ED"/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8ED"/>
    <w:rPr>
      <w:rFonts w:asciiTheme="minorHAnsi" w:eastAsiaTheme="minorEastAsia" w:hAnsiTheme="minorHAnsi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17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D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2024-08-06T10:33:00Z</dcterms:created>
  <dcterms:modified xsi:type="dcterms:W3CDTF">2024-08-06T10:33:00Z</dcterms:modified>
</cp:coreProperties>
</file>